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4"/>
          <w:rFonts w:ascii="Arial" w:hAnsi="Arial" w:cs="Arial"/>
          <w:sz w:val="24"/>
          <w:szCs w:val="24"/>
          <w:shd w:val="clear" w:color="auto" w:fill="FFFFFF"/>
        </w:rPr>
      </w:pPr>
      <w:bookmarkStart w:id="0" w:name="_Hlk124784961"/>
    </w:p>
    <w:bookmarkEnd w:id="0"/>
    <w:p>
      <w:pPr>
        <w:pStyle w:val="11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  <w:r>
        <w:rPr>
          <w:rStyle w:val="4"/>
          <w:rFonts w:ascii="Arial" w:hAnsi="Arial" w:eastAsia="Tahoma" w:cs="Arial"/>
        </w:rPr>
        <w:t>TERMO DE REFERÊNCIA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leftChars="0" w:firstLine="0" w:firstLineChars="0"/>
        <w:jc w:val="both"/>
        <w:textAlignment w:val="auto"/>
        <w:rPr>
          <w:rFonts w:hint="default" w:ascii="Arial" w:hAnsi="Arial" w:eastAsia="Times New Roman" w:cs="Arial"/>
          <w:b/>
          <w:bCs/>
          <w:color w:val="auto"/>
          <w:sz w:val="20"/>
          <w:szCs w:val="20"/>
          <w:lang w:val="pt-BR" w:eastAsia="pt-BR"/>
        </w:rPr>
      </w:pPr>
      <w:r>
        <w:rPr>
          <w:rFonts w:ascii="Arial" w:hAnsi="Arial" w:cs="Arial"/>
        </w:rPr>
        <w:br w:type="textWrapping"/>
      </w:r>
      <w:r>
        <w:rPr>
          <w:rFonts w:hint="default" w:ascii="Arial" w:hAnsi="Arial" w:cs="Arial"/>
          <w:b/>
          <w:bCs/>
          <w:sz w:val="20"/>
          <w:szCs w:val="20"/>
          <w:lang w:val="pt-BR"/>
        </w:rPr>
        <w:t xml:space="preserve">1 - </w:t>
      </w:r>
      <w:r>
        <w:rPr>
          <w:rFonts w:hint="default" w:ascii="Arial" w:hAnsi="Arial" w:eastAsia="Times New Roman" w:cs="Arial"/>
          <w:b/>
          <w:bCs/>
          <w:color w:val="auto"/>
          <w:sz w:val="20"/>
          <w:szCs w:val="20"/>
          <w:lang w:val="pt-BR" w:eastAsia="pt-BR"/>
        </w:rPr>
        <w:t>Objeto</w:t>
      </w:r>
      <w:r>
        <w:rPr>
          <w:rFonts w:hint="default" w:ascii="Arial" w:hAnsi="Arial" w:eastAsia="Times New Roman" w:cs="Arial"/>
          <w:b/>
          <w:bCs/>
          <w:color w:val="auto"/>
          <w:sz w:val="20"/>
          <w:szCs w:val="20"/>
          <w:lang w:val="en-US" w:eastAsia="pt-BR"/>
        </w:rPr>
        <w:t>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both"/>
        <w:textAlignment w:val="auto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Contratação de instituição financeira para a cessão onerosa do direito de efetuar o processamento e operacionalização da folha de pagamento dos servidores ativos,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inativos e pensionistas da Prefeitura Municipal de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Bom Princípio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/RS.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both"/>
        <w:textAlignment w:val="auto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both"/>
        <w:textAlignment w:val="auto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 xml:space="preserve">2 - </w:t>
      </w:r>
      <w:r>
        <w:rPr>
          <w:rFonts w:hint="default" w:ascii="Arial" w:hAnsi="Arial" w:cs="Arial"/>
          <w:b/>
          <w:bCs/>
          <w:sz w:val="20"/>
          <w:szCs w:val="20"/>
          <w:lang w:val="pt-BR"/>
        </w:rPr>
        <w:t>Vigência do contrato: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jc w:val="left"/>
        <w:textAlignment w:val="auto"/>
        <w:rPr>
          <w:rFonts w:hint="default" w:ascii="Arial" w:hAnsi="Arial" w:cs="Arial"/>
          <w:sz w:val="20"/>
          <w:szCs w:val="20"/>
        </w:rPr>
      </w:pPr>
      <w:bookmarkStart w:id="1" w:name="art6xxiiib"/>
      <w:bookmarkEnd w:id="1"/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A prestação de serviços terá vigência pelo prazo de 60 (sessenta) meses, a partir da assinatura do contrato.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leftChars="0"/>
        <w:jc w:val="both"/>
        <w:textAlignment w:val="auto"/>
        <w:rPr>
          <w:rFonts w:hint="default" w:ascii="Arial" w:hAnsi="Arial" w:cs="Arial"/>
          <w:lang w:val="pt-BR"/>
        </w:rPr>
      </w:pP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left="0" w:leftChars="0" w:firstLine="0" w:firstLineChars="0"/>
        <w:jc w:val="both"/>
        <w:textAlignment w:val="auto"/>
        <w:rPr>
          <w:rFonts w:hint="default" w:ascii="Arial" w:hAnsi="Arial" w:cs="Arial"/>
          <w:b/>
          <w:bCs/>
          <w:sz w:val="20"/>
          <w:szCs w:val="20"/>
        </w:rPr>
      </w:pPr>
      <w:bookmarkStart w:id="2" w:name="art6xxiiic"/>
      <w:bookmarkEnd w:id="2"/>
      <w:r>
        <w:rPr>
          <w:rFonts w:hint="default" w:ascii="Arial" w:hAnsi="Arial" w:cs="Arial"/>
          <w:b/>
          <w:bCs/>
          <w:sz w:val="20"/>
          <w:szCs w:val="20"/>
          <w:lang w:val="pt-BR"/>
        </w:rPr>
        <w:t>Solução pretendida: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jc w:val="both"/>
        <w:textAlignment w:val="auto"/>
        <w:rPr>
          <w:rFonts w:hint="default" w:ascii="Arial" w:hAnsi="Arial" w:eastAsia="Calibri-Bold" w:cs="Arial"/>
          <w:b/>
          <w:bCs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20"/>
          <w:szCs w:val="20"/>
          <w:lang w:val="pt-BR" w:eastAsia="zh-CN" w:bidi="ar"/>
        </w:rPr>
        <w:t>3.1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20"/>
          <w:szCs w:val="20"/>
          <w:lang w:val="en-US" w:eastAsia="zh-CN" w:bidi="ar"/>
        </w:rPr>
        <w:t>.</w:t>
      </w:r>
      <w:r>
        <w:rPr>
          <w:rFonts w:hint="default" w:ascii="Arial" w:hAnsi="Arial" w:eastAsia="Calibri-Bold" w:cs="Arial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 CONDIÇÕES PARA PRESTAÇÃO DE SERVIÇOS DE PROCESSAMENTO DA FOLHA DE PAGAMENTO: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.1.1.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A Contratada deverá possuir, no mínimo, 01 (uma) agência bancária na Sede do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Município de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Bom Princípio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/RS, devidamente habilitada para os serviços desta licitação.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.1.1.1.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A Contratada deverá ter sistema informatizado compatível com o do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Município, para que todas as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operações sejam processadas por meio eletrônico e on-line.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.1.2.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Havendo alteração/substituição do sistema informatizado do Município, deverá a Contratada realizar a necessária compatibilização. Em qualquer hipótese, todas as despesas de adaptação e/ou conversão, se necessárias, correrão por conta da Contratada.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.1.2.1.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A Contratada deverá atualizar constantemente seus serviços e produtos no sentido de alcançar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aos servidores municipais o melhor e o maior benefício dentre os serviços e produtos oferecidos pelos bancos.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.1.2.2.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Será fornecido à Contratada a documentação exigida pelo Banco Central do Brasil para o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cadastramento dos servidores municipais para a abertura de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suas contas.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.1.2.3.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Os servidores municipais terão assegurados, no mínimo, os produtos/serviços, nos termos do Art. 6º da Resolução BACEN nº 3919/2010, que são isentos de tarifas/taxas ou encargos de qualquer natureza,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compreendendo os seguintes: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.1.2.3.1.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Fornecimento de cartão com função de débito;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.1.2.3.2.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F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ornecimento de segunda via do cartão referido na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item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3.1.2.3.1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, exceto nos casos de pedidos de reposição formulados pelo correntista decorrente de perda, roubo, furto, danificação e outros motivos não imputáveis à instituição emitente;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.1.2.3.3.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Realização de até quatro saques, por mês, em guichê de caixa,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inclusive por meio de cheque ou de cheque avulso, ou em terminal de autoatendimento;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.1.2.3.4.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Realização de até duas transferências de recursos entre contas na própria instituição, por mês, em guichê de caixa, em terminal de autoatendimento e/ou pela internet;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.1.2.3.5.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Fornecimento de até 02 (dois) extratos, por mês, contendo a movimentação dos últimos trinta dias por meio de guichê de caixa e/ou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terminal de autoatendimento;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.1.2.3.6.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Realização de consultas mediante utilização da internet;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.1.2.3.7.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Fornecimento do extrato de que trata o Art. 19 da Resolução BACEN nº 3910/2010;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.1.2.3.8.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Compensação de cheques;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.1.2.3.9.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Fornecimento de até dez folhas de cheque por mês, desde que o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correntista reúna os requisitos necessários à utilização de cheques, de acordo com a regulamentação em vigor e as condições pactuadas;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.1.2.3.10.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Prestação de qualquer serviço por meio eletrônico, no caso de contas cujos contratos prevejam utilizar exclusivamente meios eletrônicos;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.1.2.3.11.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Portabilidade.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.1.2.4.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Os créditos a serem lançados nas contas dos servidores municipais, serão os valores líquidos das folhas de pagamento mensal, gratificação natalina, 13º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salário, férias e demais créditos originários da relação entre o servidor e o Município.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  <w:highlight w:val="none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.1.2.5.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A licitante vencedora deverá apresentar declaração de que o Município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estará isento do pagamento de qualquer taxa/tarifa referente às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movimentações financeiras oriundas do objeto da presente lici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tação.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  <w:highlight w:val="none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highlight w:val="none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.1.2.6.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Valor e quantidade de servidores: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  <w:highlight w:val="none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O número estimado de servidores ativos e inativos é de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  <w:t>666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 (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  <w:t>seiscentos e sessenta e seis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),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>podendo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ocorrer variação de 25%, para mais ou para menos, ao longo do período do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Contrato.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  <w:highlight w:val="none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Dados servidores ativos: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  <w:highlight w:val="none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  <w:t>-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 Total de Servidores ativos na competência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  <w:t>outubro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/2023: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  <w:t>508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>;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Valor bruto da folha Prefeitura na competência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outubro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/2023 (servidores ativos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): R$ </w:t>
      </w:r>
      <w:r>
        <w:rPr>
          <w:rFonts w:hint="default" w:ascii="Arial" w:hAnsi="Arial" w:eastAsia="SimSun"/>
          <w:color w:val="000000"/>
          <w:kern w:val="0"/>
          <w:sz w:val="20"/>
          <w:szCs w:val="20"/>
          <w:highlight w:val="none"/>
          <w:lang w:val="en-US" w:eastAsia="zh-CN"/>
        </w:rPr>
        <w:t>2.183.634,99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Dados servidores inativos: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  <w:highlight w:val="none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-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Total de Servidores inativos na competência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outubro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/2023: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158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highlight w:val="yellow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  <w:t xml:space="preserve">-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Valor bruto da folha Fundo Previdência na competência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  <w:t>outubro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>/2023 (servidores inativos):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R$ </w:t>
      </w:r>
      <w:r>
        <w:rPr>
          <w:rFonts w:hint="default" w:ascii="Arial" w:hAnsi="Arial" w:eastAsia="SimSun"/>
          <w:color w:val="000000"/>
          <w:kern w:val="0"/>
          <w:sz w:val="20"/>
          <w:szCs w:val="20"/>
          <w:highlight w:val="none"/>
          <w:lang w:val="en-US" w:eastAsia="zh-CN"/>
        </w:rPr>
        <w:t>614.754,02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>;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.1.3.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A instituição financeira vencedora terá o prazo de até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30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(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trinta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) dias para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implantação e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início da prestação do serviço, a contar da data de entrega dos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dados cadastrais dos servidores,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em meio digital.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.1.3.1.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Entende-se por início da prestação dos serviços a formalização da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abertura das contas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corrente, conta salário e consequente transferência dos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recursos visando o pagamento dos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servidores.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.1.3.2.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Só será admitida a prorrogação do prazo fixado para início da prestação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do serviço por culpa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exclusiva do Contratante que impeça totalmente o início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da prestação dos serviços pela Contratada.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highlight w:val="none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highlight w:val="none"/>
          <w:lang w:val="en-US" w:eastAsia="zh-CN" w:bidi="ar"/>
        </w:rPr>
        <w:t>.1.4.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 O Contratante enviará as informações necessárias para o processamento dos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pagamentos dos servidores à agência centralizadora indicada pela Contratada com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>antecedência mínima de 0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  <w:t>1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 (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  <w:t>um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>) dia út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  <w:t>il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 da data de efetivo pagamento da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>folha, por meio de transmissão eletrônica, com retorno imediato de recibo de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>entrega informando a quantidade total de registros e o valor total do crédito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bancário. O Contratante informará à Contratada o layout do arquivo de troca.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.1.5.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A Contratada realizará os testes necessários à validação dos arquivos recebidos e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informará ao Contratante a existência de eventuais inconsistências dos créditos,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por meio de relatório, no 1º dia útil após a sua recepção.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highlight w:val="none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highlight w:val="none"/>
          <w:lang w:val="en-US" w:eastAsia="zh-CN" w:bidi="ar"/>
        </w:rPr>
        <w:t>.1.6.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 No caso de haver alguma inconsistência, o Contratante emitirá arquivo retificado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contendo o crédito dos servidores, em até 01 (um) dia útil antes da data prevista para o pagamento, com retorno imediato de recibo de entrega pela Contratada.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.1.7.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O depósito em conta corrente ou conta-salário obedecerá ao mesmo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procedimento adotado para uma conta corrente regular que deverá ter como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primeiro titular os servidores.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.1.8.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Para efeito do cumprimento do disposto anteriormente, a Contratada indicará,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agência, para atendimento da Administração Direta, podendo as partes eleger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outras agências para atendimento.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.1.9.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Havendo alteração na agência centralizadora indicada, o fato deverá ser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comunicado previamente ao Contratante, no prazo mínimo de 30 (trinta) dias, sob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pena de responsabilizar-se a Contratada pelas perdas e danos decorrentes de sua omissão.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.1.10.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O Contratante está isento de toda e qualquer tarifa, taxa ou cobrança similar referente aos serviços a serem pactuados.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20"/>
          <w:szCs w:val="20"/>
          <w:lang w:val="pt-BR" w:eastAsia="zh-CN" w:bidi="ar"/>
        </w:rPr>
        <w:t xml:space="preserve">3.2. 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OBRIGAÇÕES DA CONTRATADA: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.2.1.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A Contratada deverá prestar o serviço objeto deste Termo de Referência em conformidade, com as boas normas de procedimento técnico, dando, perfeito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atendimento a todas as obrigações assumidas no Contrato, ficando o Contratante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isento do pagamento de qualquer tarifa referente aos créditos efetuados em conta corrente e/ou conta salário dos servidores.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.2.2.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O Contratante deverá efetuar o depósito dos recursos na conta Folha de Pagamento, até o último dia útil anterior ao da data estipulada no calendário de pagamento das remunerações dos servidores. Em circunstâncias excepcionais e de comum acordo entre as partes, o depósito de que trata este item poderá ser efetuado no mesmo dia estipulado no calendário de pagamento.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.2.3.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A Contratada deverá providenciar a pré-abertura da conta corrente e/ou conta salário na agência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mais próxima do atual domicílio dos servidores, interagindo com o Contratante no sentido de agendar o comparecimento dos mesmos na agência onde for pré-aberta a conta, para fins de formalização com a entrega dos documentos necessários e assinatura dos contratos e/ou outra ação especial de abordagem da Contratada com o mesmo intuito.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.2.4.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Caberá à Contratada informar ao Contratante os dados da conta corrente dos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servidores aberta para a inserção no cadastro da folha de pagamento do Contratante, sendo de responsabilidade da Contratada as despesas com as informações e/ou comunicações da mesma com os servidores.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.2.5.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A Contratada deverá atender as alterações de domicílio bancário entre as agências, solicitadas pelos servidores no ato da formalização da abertura das contas correntes e/ou contas salário.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.2.6.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A Contratada não poderá recusar, sob qualquer pretexto, a abertura de conta corrente e/ou conta salário para os servidores, sob pena de rescisão do Contrato e suas consequências, ressalvadas as restrições e observadas as regras do Banco Central do Brasil, no que se refere à emissão de talões de cheques.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.2.7.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A Contratada deverá fornecer aos servidores, de forma gratuita, durante o período de vigência do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Contrato, os serviços definidos no Art. 6º da Resolução BACEN nº 3919/2010 e posteriores alterações.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.2.8.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A Contratada obriga-se a praticar taxas diferenciadas nas linhas de crédito do CDC salário.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.2.9.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A Contratada deverá comunicar automaticamente ao Contratante, a notícia de óbito de servidores assim que tiver ciência do fato, da mesma forma deverá proceder o Contratante em relação à Contratada.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.2.10.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A Contratada deverá indicar, no prazo máximo de até 10 (dez) dias a contar da assinatura do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Contrato, os responsáveis/gestores do sistema de pagamento da folha que deverão auxiliar os técnicos do Contratante na operacionalização do sistema.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.2.11.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A Contratada deverá realizar todas as adaptações de seus softwares, necessárias ao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aprimoramento e perfeito funcionamento do sistema de pagamento da folha de salários, em até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0 (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trinta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) dias a contar do primeiro mês de serviço prestado.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.2.12.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A Contratada deverá solicitar a anuência do Contratante em caso de implementação de alterações no sistema de pagamento utilizado, que impliquem em modificações de procedimentos operacionais no relacionamento com ao Contratante.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.2.13.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A transmissão de arquivos entre Contratante e Contratada deverá ocorrer de forma segura,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preferencialmente, com o uso de certificado digital, que caso necessário, deverá ser fornecido pela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Contratada, sem custos, para até 0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(três) servidores. Caso a contratada opte pela transmissão não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utilizando certificado digital, arcará com todo o ônus decorrente de problemas na comunicação.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en-US" w:eastAsia="zh-CN" w:bidi="ar"/>
        </w:rPr>
        <w:t>.2.14.</w:t>
      </w: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A Contratada deve dar cumprimento ao disposto nos arts. 1º, § 1º, 2º, §§ 3º, 4º e 6º, 12, 14 e 16 da Portaria FNDE nº 807/2022 e nos arts. 5º e 6º da Portaria Conjunta FNDE/STN nº 3/2022 (conta exclusiva para a folha a ser custeada com recursos do Fundeb, bem como atender outros critérios exigidos pelo FNDE).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.3. OBRIGAÇÕES DO CONTRATANTE: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.3.1. Encaminhar à Contratada, no prazo máximo de 30 (trinta) dias após a assinatura do Contrato,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relatório, extraído do sistema e assinado pelo Setor de Pessoal, dos dados cadastrais dos servidores, para o procedimento inicial da abertura das contas correntes e contas salário.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.3.2. Enviar as informações necessárias para o processamento dos pagamentos dos servidores à agência centralizadora indicada pela Contratada, com antecedência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mínima de 0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1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(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um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) dia úte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l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da data de efetivo pagamento, por meio de sistema de transmissão eletrônica disponibilizado pela Contratada, com retorno imediato de recibo de entrega informando a quantidade total de registros e o valor total do crédito bancário.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.3.3. Emitir arquivo, no caso de ocorrer inconsistências, retificando os dados e enviando à Contratada em até 01 (um) dia útil antes da data prevista para o pagamento com retorno imediato de recibo de entrega pela Contratada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.3.4. Realizar abertura de conta corrente, denominada conta Folha de Pagamento, em nome da entidade Contratante signatária, na Agência da Contratada, para a efetivação dos depósitos destinados ao pagamento de remunerações.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  <w:highlight w:val="none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.3.5. Adotar medidas necessárias à divulgação aos servidores dos procedimentos a serem observados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para a abertura de conta corrente/salário, na instituição financeira Contratada.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  <w:highlight w:val="none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pt-BR" w:eastAsia="zh-CN" w:bidi="ar"/>
        </w:rPr>
        <w:t>3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.3.6. Oportunizar à Contratada, sem caráter de exclusividade, a arrecadação de todos os tributos cobrados pelo Contratante mediante utilização de guias de recebimento ou cobrança integrada da Contratada. 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sz w:val="20"/>
          <w:szCs w:val="20"/>
        </w:rPr>
      </w:pPr>
      <w:bookmarkStart w:id="3" w:name="art6xxiiif"/>
      <w:bookmarkEnd w:id="3"/>
      <w:bookmarkStart w:id="4" w:name="art6xxiiid"/>
      <w:bookmarkEnd w:id="4"/>
    </w:p>
    <w:p>
      <w:pPr>
        <w:pStyle w:val="7"/>
        <w:numPr>
          <w:ilvl w:val="0"/>
          <w:numId w:val="1"/>
        </w:numPr>
        <w:spacing w:before="0" w:beforeAutospacing="0" w:after="0" w:afterAutospacing="0"/>
        <w:ind w:left="0" w:leftChars="0" w:firstLine="0" w:firstLineChars="0"/>
        <w:jc w:val="both"/>
        <w:rPr>
          <w:rFonts w:hint="default" w:ascii="Arial" w:hAnsi="Arial" w:cs="Arial"/>
          <w:b/>
          <w:bCs/>
          <w:sz w:val="20"/>
          <w:szCs w:val="20"/>
        </w:rPr>
      </w:pPr>
      <w:bookmarkStart w:id="5" w:name="art6xxiiig"/>
      <w:bookmarkEnd w:id="5"/>
      <w:r>
        <w:rPr>
          <w:rFonts w:hint="default" w:ascii="Arial" w:hAnsi="Arial" w:cs="Arial"/>
          <w:b/>
          <w:bCs/>
          <w:sz w:val="20"/>
          <w:szCs w:val="20"/>
          <w:lang w:val="pt-BR"/>
        </w:rPr>
        <w:t>Fiscalização do contrato: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A fiscalização da prestação de serviços será feita pel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a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Secretári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a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Municipal d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e Administração e Finanças, Adriane Bruchez.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sz w:val="20"/>
          <w:szCs w:val="20"/>
        </w:rPr>
      </w:pPr>
    </w:p>
    <w:p>
      <w:pPr>
        <w:pStyle w:val="7"/>
        <w:numPr>
          <w:ilvl w:val="0"/>
          <w:numId w:val="1"/>
        </w:numPr>
        <w:spacing w:before="0" w:beforeAutospacing="0" w:after="0" w:afterAutospacing="0"/>
        <w:ind w:left="0" w:leftChars="0" w:firstLine="0" w:firstLineChars="0"/>
        <w:jc w:val="both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  <w:lang w:val="pt-BR"/>
        </w:rPr>
        <w:t>Forma e critérios de seleção: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i/>
          <w:iCs/>
          <w:sz w:val="20"/>
          <w:szCs w:val="20"/>
          <w:u w:val="none"/>
          <w:lang w:val="pt-BR"/>
        </w:rPr>
      </w:pPr>
      <w:r>
        <w:rPr>
          <w:rFonts w:hint="default" w:ascii="Arial" w:hAnsi="Arial" w:cs="Arial"/>
          <w:i/>
          <w:iCs/>
          <w:sz w:val="20"/>
          <w:szCs w:val="20"/>
          <w:u w:val="none"/>
          <w:lang w:val="pt-BR"/>
        </w:rPr>
        <w:t>5.1 Deverá ser realizado processo licitatório por meio de PREGÃO PRESENCIAL, do TIPO MAIOR LANCE.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default" w:ascii="Arial" w:hAnsi="Arial" w:cs="Arial"/>
          <w:i/>
          <w:iCs/>
          <w:sz w:val="20"/>
          <w:szCs w:val="20"/>
        </w:rPr>
      </w:pPr>
      <w:r>
        <w:rPr>
          <w:rFonts w:hint="default" w:ascii="Arial" w:hAnsi="Arial" w:eastAsia="Segoe UI" w:cs="Arial"/>
          <w:i/>
          <w:iCs/>
          <w:caps w:val="0"/>
          <w:color w:val="000000"/>
          <w:spacing w:val="0"/>
          <w:sz w:val="20"/>
          <w:szCs w:val="20"/>
          <w:shd w:val="clear" w:fill="FDFDFD"/>
          <w:lang w:val="pt-BR"/>
        </w:rPr>
        <w:t xml:space="preserve">5.2 No que tange a escolha do </w:t>
      </w:r>
      <w:r>
        <w:rPr>
          <w:rFonts w:hint="default" w:ascii="Arial" w:hAnsi="Arial" w:eastAsia="Segoe UI" w:cs="Arial"/>
          <w:i/>
          <w:iCs/>
          <w:caps w:val="0"/>
          <w:color w:val="000000"/>
          <w:spacing w:val="0"/>
          <w:sz w:val="20"/>
          <w:szCs w:val="20"/>
          <w:shd w:val="clear" w:fill="FDFDFD"/>
          <w:lang w:val="en-US"/>
        </w:rPr>
        <w:t xml:space="preserve">Pregão </w:t>
      </w:r>
      <w:r>
        <w:rPr>
          <w:rFonts w:hint="default" w:ascii="Arial" w:hAnsi="Arial" w:eastAsia="Segoe UI" w:cs="Arial"/>
          <w:i/>
          <w:iCs/>
          <w:caps w:val="0"/>
          <w:color w:val="000000"/>
          <w:spacing w:val="0"/>
          <w:sz w:val="20"/>
          <w:szCs w:val="20"/>
          <w:shd w:val="clear" w:fill="FDFDFD"/>
          <w:lang w:val="pt-BR"/>
        </w:rPr>
        <w:t xml:space="preserve">como método licitatório </w:t>
      </w:r>
      <w:r>
        <w:rPr>
          <w:rFonts w:hint="default" w:ascii="Arial" w:hAnsi="Arial" w:eastAsia="Segoe UI" w:cs="Arial"/>
          <w:i/>
          <w:iCs/>
          <w:caps w:val="0"/>
          <w:color w:val="000000"/>
          <w:spacing w:val="0"/>
          <w:sz w:val="20"/>
          <w:szCs w:val="20"/>
          <w:shd w:val="clear" w:fill="FDFDFD"/>
          <w:lang w:val="en-US"/>
        </w:rPr>
        <w:t>para a escolha de instituição financeira para Gestão da folha, inclu</w:t>
      </w:r>
      <w:r>
        <w:rPr>
          <w:rFonts w:hint="default" w:ascii="Arial" w:hAnsi="Arial" w:eastAsia="Segoe UI" w:cs="Arial"/>
          <w:i/>
          <w:iCs/>
          <w:caps w:val="0"/>
          <w:color w:val="000000"/>
          <w:spacing w:val="0"/>
          <w:sz w:val="20"/>
          <w:szCs w:val="20"/>
          <w:shd w:val="clear" w:fill="FDFDFD"/>
          <w:lang w:val="pt-BR"/>
        </w:rPr>
        <w:t>i-se ao presente processo o</w:t>
      </w:r>
      <w:r>
        <w:rPr>
          <w:rFonts w:hint="default" w:ascii="Arial" w:hAnsi="Arial" w:eastAsia="Segoe UI" w:cs="Arial"/>
          <w:i/>
          <w:iCs/>
          <w:caps w:val="0"/>
          <w:color w:val="000000"/>
          <w:spacing w:val="0"/>
          <w:sz w:val="20"/>
          <w:szCs w:val="20"/>
          <w:shd w:val="clear" w:fill="FDFDFD"/>
          <w:lang w:val="en-US"/>
        </w:rPr>
        <w:t xml:space="preserve"> julgado já efetuado pelo TCU sobre a </w:t>
      </w:r>
      <w:r>
        <w:rPr>
          <w:rFonts w:hint="default" w:ascii="Arial" w:hAnsi="Arial" w:eastAsia="Segoe UI" w:cs="Arial"/>
          <w:i/>
          <w:iCs/>
          <w:caps w:val="0"/>
          <w:color w:val="000000"/>
          <w:spacing w:val="0"/>
          <w:sz w:val="20"/>
          <w:szCs w:val="20"/>
          <w:shd w:val="clear" w:fill="FDFDFD"/>
          <w:lang w:val="pt-BR"/>
        </w:rPr>
        <w:t>matéria</w:t>
      </w:r>
      <w:r>
        <w:rPr>
          <w:rFonts w:hint="default" w:ascii="Arial" w:hAnsi="Arial" w:eastAsia="Segoe UI" w:cs="Arial"/>
          <w:i/>
          <w:iCs/>
          <w:caps w:val="0"/>
          <w:color w:val="000000"/>
          <w:spacing w:val="0"/>
          <w:sz w:val="20"/>
          <w:szCs w:val="20"/>
          <w:shd w:val="clear" w:fill="FDFDFD"/>
          <w:lang w:val="en-US"/>
        </w:rPr>
        <w:t>, assim disposto:</w:t>
      </w:r>
    </w:p>
    <w:p>
      <w:pPr>
        <w:keepNext w:val="0"/>
        <w:keepLines w:val="0"/>
        <w:widowControl/>
        <w:suppressLineNumbers w:val="0"/>
        <w:shd w:val="clear" w:fill="FDFDFD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/>
          <w:iCs/>
          <w:caps w:val="0"/>
          <w:color w:val="000000"/>
          <w:spacing w:val="0"/>
          <w:sz w:val="20"/>
          <w:szCs w:val="20"/>
        </w:rPr>
      </w:pPr>
      <w:r>
        <w:rPr>
          <w:rFonts w:hint="default" w:ascii="Arial" w:hAnsi="Arial" w:eastAsia="Tahoma" w:cs="Arial"/>
          <w:i/>
          <w:iCs/>
          <w:caps w:val="0"/>
          <w:color w:val="000000"/>
          <w:spacing w:val="0"/>
          <w:kern w:val="0"/>
          <w:sz w:val="20"/>
          <w:szCs w:val="20"/>
          <w:shd w:val="clear" w:fill="FDFDFD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fill="FDFDFD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Arial" w:hAnsi="Arial" w:cs="Arial"/>
          <w:b/>
          <w:bCs/>
          <w:i/>
          <w:iCs/>
          <w:caps w:val="0"/>
          <w:color w:val="000000"/>
          <w:spacing w:val="0"/>
          <w:sz w:val="20"/>
          <w:szCs w:val="20"/>
        </w:rPr>
      </w:pPr>
      <w:r>
        <w:rPr>
          <w:rFonts w:hint="default" w:ascii="Arial" w:hAnsi="Arial" w:eastAsia="Tahoma" w:cs="Arial"/>
          <w:b/>
          <w:bCs/>
          <w:i/>
          <w:iCs/>
          <w:caps w:val="0"/>
          <w:color w:val="000000"/>
          <w:spacing w:val="0"/>
          <w:kern w:val="0"/>
          <w:sz w:val="20"/>
          <w:szCs w:val="20"/>
          <w:shd w:val="clear" w:fill="FDFDFD"/>
          <w:lang w:val="en-US" w:eastAsia="zh-CN" w:bidi="ar"/>
        </w:rPr>
        <w:t>DO CRITÉRIO DE SELEÇÃO DA PROPOSTA MAIS VANTAJOSA PARA A ADMINISTRAÇÃO:</w:t>
      </w:r>
    </w:p>
    <w:p>
      <w:pPr>
        <w:keepNext w:val="0"/>
        <w:keepLines w:val="0"/>
        <w:pageBreakBefore w:val="0"/>
        <w:widowControl/>
        <w:suppressLineNumbers w:val="0"/>
        <w:shd w:val="clear" w:fill="FDFDFD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Arial" w:hAnsi="Arial" w:cs="Arial"/>
          <w:i/>
          <w:iCs/>
          <w:sz w:val="20"/>
          <w:szCs w:val="20"/>
          <w:u w:val="none"/>
          <w:lang w:val="pt-BR"/>
        </w:rPr>
      </w:pPr>
      <w:r>
        <w:rPr>
          <w:rFonts w:hint="default" w:ascii="Arial" w:hAnsi="Arial" w:eastAsia="Tahoma" w:cs="Arial"/>
          <w:i/>
          <w:iCs/>
          <w:caps w:val="0"/>
          <w:color w:val="000000"/>
          <w:spacing w:val="0"/>
          <w:kern w:val="0"/>
          <w:sz w:val="20"/>
          <w:szCs w:val="20"/>
          <w:shd w:val="clear" w:fill="FDFDFD"/>
          <w:lang w:val="en-US" w:eastAsia="zh-CN" w:bidi="ar"/>
        </w:rPr>
        <w:t>A Lei nº 10.520/2002 prevê como critério de julgamento e classificação das propostas apenas o menor preço, conforme o art. 4º, X: Art. 4º A fase externa do pregão será iniciada com a convocação dos interessados e observará as seguintes regras: (...) X - para julgamento e classificação das propostas, será adotado o critério de menor preço, observados os prazos máximos para fornecimento, as especificações técnicas e parâmetros mínimos de desempenho e qualidade definidos no edital. Conforme entendimentos do Tribunal de Contas da União, no presente procedimento, o critério maior oferta atende mais ao interesse público do que o de menor preço, desde que o primeiro seja viável do ponto de vista mercadológico. A realização de Pregão adotando critério de julgamento não previsto na legislação mostra-se admissível, e</w:t>
      </w:r>
      <w:r>
        <w:rPr>
          <w:rFonts w:hint="default" w:ascii="Arial" w:hAnsi="Arial" w:eastAsia="Tahoma" w:cs="Arial"/>
          <w:i/>
          <w:iCs/>
          <w:caps w:val="0"/>
          <w:color w:val="auto"/>
          <w:spacing w:val="0"/>
          <w:kern w:val="0"/>
          <w:sz w:val="20"/>
          <w:szCs w:val="20"/>
          <w:shd w:val="clear" w:fill="FDFDFD"/>
          <w:lang w:val="en-US" w:eastAsia="zh-CN" w:bidi="ar"/>
        </w:rPr>
        <w:t>m cará</w:t>
      </w:r>
      <w:r>
        <w:rPr>
          <w:rFonts w:hint="default" w:ascii="Arial" w:hAnsi="Arial" w:eastAsia="Tahoma" w:cs="Arial"/>
          <w:i/>
          <w:iCs/>
          <w:caps w:val="0"/>
          <w:color w:val="auto"/>
          <w:spacing w:val="0"/>
          <w:kern w:val="0"/>
          <w:sz w:val="20"/>
          <w:szCs w:val="20"/>
          <w:u w:val="none"/>
          <w:shd w:val="clear" w:fill="FDFDFD"/>
          <w:lang w:val="en-US" w:eastAsia="zh-CN" w:bidi="ar"/>
        </w:rPr>
        <w:t>ter</w:t>
      </w:r>
      <w:r>
        <w:rPr>
          <w:rFonts w:hint="default" w:ascii="Arial" w:hAnsi="Arial" w:eastAsia="Tahoma" w:cs="Arial"/>
          <w:i/>
          <w:iCs/>
          <w:caps w:val="0"/>
          <w:color w:val="auto"/>
          <w:spacing w:val="0"/>
          <w:kern w:val="0"/>
          <w:sz w:val="20"/>
          <w:szCs w:val="20"/>
          <w:shd w:val="clear" w:fill="FDFDFD"/>
          <w:lang w:val="en-US" w:eastAsia="zh-CN" w:bidi="ar"/>
        </w:rPr>
        <w:t> excepcional, tendo em vista o relevante interesse público da aplicação deste critério alternativo para o atingimento dos objetivos do ente: o direito de um ente público, no caso o INSS, de contratar instituições fi</w:t>
      </w:r>
      <w:r>
        <w:rPr>
          <w:rFonts w:hint="default" w:ascii="Arial" w:hAnsi="Arial" w:eastAsia="Tahoma" w:cs="Arial"/>
          <w:i/>
          <w:iCs/>
          <w:caps w:val="0"/>
          <w:color w:val="000000"/>
          <w:spacing w:val="0"/>
          <w:kern w:val="0"/>
          <w:sz w:val="20"/>
          <w:szCs w:val="20"/>
          <w:shd w:val="clear" w:fill="FDFDFD"/>
          <w:lang w:val="en-US" w:eastAsia="zh-CN" w:bidi="ar"/>
        </w:rPr>
        <w:t>nanceiras para prestar serviços financeiros necessários à consecução de suas atividades de auto-administração e implementação de ações governamentais, como a gestão da folha de pagamentos previdenciários, pode ser considerado um ativo especial intangível e, nesta condição, pode ser ofertada sua exploração econômico-financeira ao mercado, por meio de licitação. Este bem ou direito não pode ser, no entanto, objeto de alienação; ACÓRDÃO Nº 3042/2008 - TCU – Plenário. Ainda acerca da utilização do Pregão, tipo maior valor ofertado, o citado Acórdão prescreve: Em que pese meu entendimento quanto à obrigatoriedade de licitar para o objeto da consulta, a obtenção da proposta mais vantajosa, do mais eficiente resultado para a Administração, pode exigir soluções procedimentais que não se encontram devidamente positivadas na lei, até porque não é razoável supor a existência de normativo que contemple todas as situações fáticas possíveis no mundo real, cabendo ao gestor se valer da analogia, como exemplifica o artigo 142 da Lei nº 11.101/2002, versando sobre a realização de ativo de empresa submetida a Processo de falência, em que o legislador reconhece a possibilidade de alienação de ativo por pregão, inaugurando uma modalidade híbrida de licitação, qual seja, pregão do tipo maior valor ofertado. (g.n.) Conclui-se que a utilização de critério de julgamento de propostas não previsto na legislação do Pregão poderá ser adotada mediante o interesse público da aplicação deste critério alternativo para o alcance dos objetivos institucionais do ente e também como mecanismo de garantia do princípio licitatório da seleção da oferta mais vantajosa para a Administração, o que já se encontra justificado no presente documento.</w:t>
      </w:r>
    </w:p>
    <w:p>
      <w:pPr>
        <w:pStyle w:val="7"/>
        <w:spacing w:before="0" w:beforeAutospacing="0" w:after="0" w:afterAutospacing="0"/>
        <w:jc w:val="both"/>
        <w:rPr>
          <w:rFonts w:hint="default" w:ascii="Arial" w:hAnsi="Arial" w:cs="Arial"/>
          <w:sz w:val="20"/>
          <w:szCs w:val="20"/>
        </w:rPr>
      </w:pPr>
      <w:bookmarkStart w:id="6" w:name="art6xxiii.i"/>
      <w:bookmarkEnd w:id="6"/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b/>
          <w:bCs/>
          <w:sz w:val="20"/>
          <w:szCs w:val="20"/>
          <w:lang w:val="pt-BR"/>
        </w:rPr>
      </w:pPr>
      <w:r>
        <w:rPr>
          <w:rFonts w:hint="default" w:ascii="Arial" w:hAnsi="Arial" w:cs="Arial"/>
          <w:b/>
          <w:bCs/>
          <w:sz w:val="20"/>
          <w:szCs w:val="20"/>
          <w:lang w:val="pt-BR"/>
        </w:rPr>
        <w:t>6 - Valor referência: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shd w:val="clear" w:fill="FDFDFD"/>
          <w:lang w:val="en-US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6.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1. </w:t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shd w:val="clear" w:fill="FDFDFD"/>
          <w:lang w:val="en-US"/>
        </w:rPr>
        <w:t>O valor inicial a ser ofertado pelas instituições financeiras interessadas em participar da licitação deverá ser de, no mínimo,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shd w:val="clear" w:fill="FDFDFD"/>
          <w:lang w:val="en-US"/>
        </w:rPr>
        <w:t> 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DFDFD"/>
          <w:lang w:val="en-US"/>
        </w:rPr>
        <w:t>R$ 1.000.000,00 (um milhão de reais)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shd w:val="clear" w:fill="FDFDFD"/>
          <w:lang w:val="en-US"/>
        </w:rPr>
        <w:t xml:space="preserve">, conforme média obtida em pesquisa de contratos 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shd w:val="clear" w:fill="FDFDFD"/>
          <w:lang w:val="pt-BR"/>
        </w:rPr>
        <w:t>similares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shd w:val="clear" w:fill="FDFDFD"/>
          <w:lang w:val="en-US"/>
        </w:rPr>
        <w:t xml:space="preserve"> de outros Municípios com porte e n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shd w:val="clear" w:fill="FDFDFD"/>
          <w:lang w:val="pt-BR"/>
        </w:rPr>
        <w:t>úmero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shd w:val="clear" w:fill="FDFDFD"/>
          <w:lang w:val="en-US"/>
        </w:rPr>
        <w:t xml:space="preserve"> de servidores semelhante ou aproximado com o Município de Bom Princípio.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shd w:val="clear" w:fill="FDFDFD"/>
          <w:lang w:val="pt-BR"/>
        </w:rPr>
      </w:pPr>
      <w:r>
        <w:drawing>
          <wp:inline distT="0" distB="0" distL="114300" distR="114300">
            <wp:extent cx="6158865" cy="3337560"/>
            <wp:effectExtent l="0" t="0" r="133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8"/>
                    <a:srcRect t="3665"/>
                    <a:stretch>
                      <a:fillRect/>
                    </a:stretch>
                  </pic:blipFill>
                  <pic:spPr>
                    <a:xfrm>
                      <a:off x="0" y="0"/>
                      <a:ext cx="6158865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jc w:val="both"/>
      </w:pPr>
      <w:bookmarkStart w:id="9" w:name="_GoBack"/>
      <w:bookmarkEnd w:id="9"/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6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.2. O pagamento do valor proposto pela instituição vencedora deverá ser repassado para conta bancária a ser indicada pela Secretaria Municipal da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Administração e Finanças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, em parcela única, em até 10 dias após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  <w:t>a assinatura do contrato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. </w:t>
      </w:r>
      <w:bookmarkStart w:id="7" w:name="art6xxiiij"/>
      <w:bookmarkEnd w:id="7"/>
      <w:bookmarkStart w:id="8" w:name="art40§1iii"/>
      <w:bookmarkEnd w:id="8"/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  <w:rPr>
          <w:rFonts w:hint="default"/>
          <w:lang w:val="pt-BR"/>
        </w:rPr>
      </w:pPr>
      <w:r>
        <w:rPr>
          <w:rFonts w:hint="default"/>
          <w:lang w:val="pt-BR"/>
        </w:rPr>
        <w:t>Bom Princípio, 15 de novembro de 2023.</w:t>
      </w:r>
    </w:p>
    <w:p>
      <w:pPr>
        <w:jc w:val="right"/>
        <w:rPr>
          <w:rFonts w:hint="default"/>
          <w:lang w:val="pt-BR"/>
        </w:rPr>
      </w:pPr>
    </w:p>
    <w:p>
      <w:pPr>
        <w:jc w:val="right"/>
        <w:rPr>
          <w:rFonts w:hint="default"/>
          <w:lang w:val="pt-BR"/>
        </w:rPr>
      </w:pPr>
    </w:p>
    <w:p>
      <w:pPr>
        <w:jc w:val="right"/>
        <w:rPr>
          <w:rFonts w:hint="default"/>
          <w:lang w:val="pt-BR"/>
        </w:rPr>
      </w:pPr>
    </w:p>
    <w:p>
      <w:pPr>
        <w:jc w:val="right"/>
        <w:rPr>
          <w:rFonts w:hint="default"/>
          <w:lang w:val="pt-BR"/>
        </w:rPr>
      </w:pPr>
    </w:p>
    <w:p>
      <w:pPr>
        <w:jc w:val="right"/>
        <w:rPr>
          <w:rFonts w:hint="default"/>
          <w:lang w:val="pt-BR"/>
        </w:rPr>
      </w:pPr>
    </w:p>
    <w:p>
      <w:pPr>
        <w:jc w:val="right"/>
        <w:rPr>
          <w:rFonts w:hint="default"/>
          <w:lang w:val="pt-BR"/>
        </w:rPr>
      </w:pPr>
    </w:p>
    <w:p>
      <w:pPr>
        <w:jc w:val="right"/>
        <w:rPr>
          <w:rFonts w:hint="default"/>
          <w:lang w:val="pt-BR"/>
        </w:rPr>
      </w:pPr>
      <w:r>
        <w:rPr>
          <w:rFonts w:hint="default"/>
          <w:lang w:val="pt-BR"/>
        </w:rPr>
        <w:t>______________________________</w:t>
      </w:r>
    </w:p>
    <w:p>
      <w:pPr>
        <w:jc w:val="right"/>
        <w:rPr>
          <w:rFonts w:hint="default"/>
          <w:lang w:val="pt-BR"/>
        </w:rPr>
      </w:pPr>
      <w:r>
        <w:rPr>
          <w:rFonts w:hint="default"/>
          <w:lang w:val="pt-BR"/>
        </w:rPr>
        <w:t>Adriane Bruchez</w:t>
      </w:r>
    </w:p>
    <w:p>
      <w:pPr>
        <w:wordWrap w:val="0"/>
        <w:jc w:val="right"/>
        <w:rPr>
          <w:rFonts w:hint="default"/>
          <w:lang w:val="pt-BR"/>
        </w:rPr>
      </w:pPr>
      <w:r>
        <w:rPr>
          <w:rFonts w:hint="default"/>
          <w:lang w:val="pt-BR"/>
        </w:rPr>
        <w:t>Secretaria Municipal de Administração e Finanças</w:t>
      </w:r>
    </w:p>
    <w:sectPr>
      <w:headerReference r:id="rId5" w:type="default"/>
      <w:footerReference r:id="rId6" w:type="default"/>
      <w:pgSz w:w="11910" w:h="16850"/>
      <w:pgMar w:top="1740" w:right="740" w:bottom="680" w:left="1600" w:header="587" w:footer="4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drawing>
        <wp:inline distT="0" distB="0" distL="0" distR="0">
          <wp:extent cx="889000" cy="110490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12"/>
      <w:jc w:val="center"/>
      <w:rPr>
        <w:rFonts w:ascii="Arial" w:hAnsi="Arial" w:cs="Arial"/>
        <w:sz w:val="32"/>
      </w:rPr>
    </w:pPr>
    <w:r>
      <w:rPr>
        <w:rFonts w:ascii="Arial" w:hAnsi="Arial" w:cs="Arial"/>
        <w:sz w:val="32"/>
      </w:rPr>
      <w:t>MUNICÍPIO DE BOM PRINCÍPIO</w:t>
    </w:r>
  </w:p>
  <w:p>
    <w:pPr>
      <w:pStyle w:val="12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Estado do Rio Grande do Sul</w:t>
    </w: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928F3"/>
    <w:multiLevelType w:val="singleLevel"/>
    <w:tmpl w:val="9F0928F3"/>
    <w:lvl w:ilvl="0" w:tentative="0">
      <w:start w:val="3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D1"/>
    <w:rsid w:val="00081F85"/>
    <w:rsid w:val="00182F1B"/>
    <w:rsid w:val="00A262D1"/>
    <w:rsid w:val="00D566CB"/>
    <w:rsid w:val="0E2B5E97"/>
    <w:rsid w:val="0EAB594B"/>
    <w:rsid w:val="100E1970"/>
    <w:rsid w:val="12354EAF"/>
    <w:rsid w:val="28167D1E"/>
    <w:rsid w:val="28A97D81"/>
    <w:rsid w:val="28AF4069"/>
    <w:rsid w:val="2AF9305B"/>
    <w:rsid w:val="2D020066"/>
    <w:rsid w:val="31926E6A"/>
    <w:rsid w:val="3A056A92"/>
    <w:rsid w:val="45892B19"/>
    <w:rsid w:val="4CA67311"/>
    <w:rsid w:val="5FA6356C"/>
    <w:rsid w:val="614013E0"/>
    <w:rsid w:val="67DB27B4"/>
    <w:rsid w:val="68A4383E"/>
    <w:rsid w:val="6CF15556"/>
    <w:rsid w:val="71240ED0"/>
    <w:rsid w:val="75734472"/>
    <w:rsid w:val="79C6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ahoma" w:cs="Tahoma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link w:val="9"/>
    <w:qFormat/>
    <w:uiPriority w:val="1"/>
    <w:pPr>
      <w:ind w:left="102"/>
    </w:p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9">
    <w:name w:val="Corpo de texto Char"/>
    <w:basedOn w:val="2"/>
    <w:link w:val="6"/>
    <w:qFormat/>
    <w:uiPriority w:val="1"/>
    <w:rPr>
      <w:rFonts w:ascii="Tahoma" w:hAnsi="Tahoma" w:eastAsia="Tahoma" w:cs="Tahoma"/>
      <w:lang w:val="pt-PT"/>
    </w:rPr>
  </w:style>
  <w:style w:type="paragraph" w:styleId="10">
    <w:name w:val="List Paragraph"/>
    <w:basedOn w:val="1"/>
    <w:qFormat/>
    <w:uiPriority w:val="1"/>
    <w:pPr>
      <w:spacing w:before="133"/>
      <w:ind w:left="102"/>
    </w:pPr>
  </w:style>
  <w:style w:type="paragraph" w:customStyle="1" w:styleId="11">
    <w:name w:val="texto_espaco_duplo_recuo_primeira_linha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customStyle="1" w:styleId="12">
    <w:name w:val="Cabeçalho1"/>
    <w:basedOn w:val="1"/>
    <w:qFormat/>
    <w:uiPriority w:val="0"/>
    <w:pPr>
      <w:tabs>
        <w:tab w:val="center" w:pos="4419"/>
        <w:tab w:val="right" w:pos="8838"/>
      </w:tabs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798</Words>
  <Characters>4310</Characters>
  <Lines>35</Lines>
  <Paragraphs>10</Paragraphs>
  <TotalTime>0</TotalTime>
  <ScaleCrop>false</ScaleCrop>
  <LinksUpToDate>false</LinksUpToDate>
  <CharactersWithSpaces>5098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2023-01-11T19:50:00Z</dcterms:created>
  <dc:creator>Cesar Baumgratz</dc:creator>
  <cp:lastModifiedBy>Licitações</cp:lastModifiedBy>
  <cp:lastPrinted>2023-11-21T18:29:00Z</cp:lastPrinted>
  <dcterms:modified xsi:type="dcterms:W3CDTF">2023-11-30T13:14:10Z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E926CD3D72DB4FBDA559B99ABB9B5304_13</vt:lpwstr>
  </property>
</Properties>
</file>